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стандарты финансовой отчетности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стандарты финансовой отчетности»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«Международные стандарты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финансовой отчетности».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стандарты финансовой отчетности»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уметь применять международные стандарты финансовой отчетности (в зависимости от сферы деятельности экономического субъекта)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применения международных стандартов финансовой отчетности (в зависимости от сферы деятельности экономического субъекта)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применять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применения международных стандартов финансовой отчетности (в зависимости от сферы деятельности экономического субъекта)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владеть навыками применения норм законодательства Российской Федерации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«Международные стандарты финансовой отчетности»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формирования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финансовой отчетности с учетом отраслевых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87.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49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МСФО. Стандартизация учета и финансовой отчетности. Роль МСФО в обеспечении пользователей достоверной информацией о финансовом положении и результатах деятельности субъектов экономики.</w:t>
            </w:r>
          </w:p>
          <w:p>
            <w:pPr>
              <w:jc w:val="both"/>
              <w:spacing w:after="0" w:line="240" w:lineRule="auto"/>
              <w:rPr>
                <w:sz w:val="24"/>
                <w:szCs w:val="24"/>
              </w:rPr>
            </w:pPr>
            <w:r>
              <w:rPr>
                <w:rFonts w:ascii="Times New Roman" w:hAnsi="Times New Roman" w:cs="Times New Roman"/>
                <w:color w:val="#000000"/>
                <w:sz w:val="24"/>
                <w:szCs w:val="24"/>
              </w:rPr>
              <w:t> Структура регулирующих органов и порядок утверждения МСФО. Институт попечителей. Совет по МСФО (СМСФО), его цели и порядок работы. Консультационный совет по стандартам. Комитет по интерпретации МСФО.</w:t>
            </w:r>
          </w:p>
          <w:p>
            <w:pPr>
              <w:jc w:val="both"/>
              <w:spacing w:after="0" w:line="240" w:lineRule="auto"/>
              <w:rPr>
                <w:sz w:val="24"/>
                <w:szCs w:val="24"/>
              </w:rPr>
            </w:pPr>
            <w:r>
              <w:rPr>
                <w:rFonts w:ascii="Times New Roman" w:hAnsi="Times New Roman" w:cs="Times New Roman"/>
                <w:color w:val="#000000"/>
                <w:sz w:val="24"/>
                <w:szCs w:val="24"/>
              </w:rPr>
              <w:t> Состав МСФО. Стандарты и интерпретации. Процедура разработки и принятия стандартов и интерпретаций.</w:t>
            </w:r>
          </w:p>
          <w:p>
            <w:pPr>
              <w:jc w:val="both"/>
              <w:spacing w:after="0" w:line="240" w:lineRule="auto"/>
              <w:rPr>
                <w:sz w:val="24"/>
                <w:szCs w:val="24"/>
              </w:rPr>
            </w:pPr>
            <w:r>
              <w:rPr>
                <w:rFonts w:ascii="Times New Roman" w:hAnsi="Times New Roman" w:cs="Times New Roman"/>
                <w:color w:val="#000000"/>
                <w:sz w:val="24"/>
                <w:szCs w:val="24"/>
              </w:rPr>
              <w:t>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Предназначение, сфера действия и назначение документа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Пользователи финансовых отчетов общего назначения.</w:t>
            </w:r>
          </w:p>
          <w:p>
            <w:pPr>
              <w:jc w:val="both"/>
              <w:spacing w:after="0" w:line="240" w:lineRule="auto"/>
              <w:rPr>
                <w:sz w:val="24"/>
                <w:szCs w:val="24"/>
              </w:rPr>
            </w:pPr>
            <w:r>
              <w:rPr>
                <w:rFonts w:ascii="Times New Roman" w:hAnsi="Times New Roman" w:cs="Times New Roman"/>
                <w:color w:val="#000000"/>
                <w:sz w:val="24"/>
                <w:szCs w:val="24"/>
              </w:rPr>
              <w:t> Цель представления финансовых отчетов общего назначения: цель, полезность и ограничения представления финансовых отчетов общего назначения; 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информация об использовании экономических ресурсов организации.</w:t>
            </w:r>
          </w:p>
          <w:p>
            <w:pPr>
              <w:jc w:val="both"/>
              <w:spacing w:after="0" w:line="240" w:lineRule="auto"/>
              <w:rPr>
                <w:sz w:val="24"/>
                <w:szCs w:val="24"/>
              </w:rPr>
            </w:pPr>
            <w:r>
              <w:rPr>
                <w:rFonts w:ascii="Times New Roman" w:hAnsi="Times New Roman" w:cs="Times New Roman"/>
                <w:color w:val="#000000"/>
                <w:sz w:val="24"/>
                <w:szCs w:val="24"/>
              </w:rPr>
              <w:t> Финансовые результаты, отраженные при учете по методу начисления, и финансовые результаты, отраженные как денежные потоки за прошедший период.</w:t>
            </w:r>
          </w:p>
          <w:p>
            <w:pPr>
              <w:jc w:val="both"/>
              <w:spacing w:after="0" w:line="240" w:lineRule="auto"/>
              <w:rPr>
                <w:sz w:val="24"/>
                <w:szCs w:val="24"/>
              </w:rPr>
            </w:pPr>
            <w:r>
              <w:rPr>
                <w:rFonts w:ascii="Times New Roman" w:hAnsi="Times New Roman" w:cs="Times New Roman"/>
                <w:color w:val="#000000"/>
                <w:sz w:val="24"/>
                <w:szCs w:val="24"/>
              </w:rPr>
              <w:t> Основополагающее допущение: непрерывность деятельности.</w:t>
            </w:r>
          </w:p>
          <w:p>
            <w:pPr>
              <w:jc w:val="both"/>
              <w:spacing w:after="0" w:line="240" w:lineRule="auto"/>
              <w:rPr>
                <w:sz w:val="24"/>
                <w:szCs w:val="24"/>
              </w:rPr>
            </w:pPr>
            <w:r>
              <w:rPr>
                <w:rFonts w:ascii="Times New Roman" w:hAnsi="Times New Roman" w:cs="Times New Roman"/>
                <w:color w:val="#000000"/>
                <w:sz w:val="24"/>
                <w:szCs w:val="24"/>
              </w:rPr>
              <w:t> Качественные характеристики полезной финансовой информации: основополагающие (уместность и правдивое представление) и повышающие полезность информации (сопоставимость, проверяемость, своевременность и понятность).</w:t>
            </w:r>
          </w:p>
          <w:p>
            <w:pPr>
              <w:jc w:val="both"/>
              <w:spacing w:after="0" w:line="240" w:lineRule="auto"/>
              <w:rPr>
                <w:sz w:val="24"/>
                <w:szCs w:val="24"/>
              </w:rPr>
            </w:pPr>
            <w:r>
              <w:rPr>
                <w:rFonts w:ascii="Times New Roman" w:hAnsi="Times New Roman" w:cs="Times New Roman"/>
                <w:color w:val="#000000"/>
                <w:sz w:val="24"/>
                <w:szCs w:val="24"/>
              </w:rPr>
              <w:t> Элементы финансовой отчетности: активы, обязательства, собственный капитал, доходы,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расходы и критерии их признания.</w:t>
            </w:r>
          </w:p>
          <w:p>
            <w:pPr>
              <w:jc w:val="both"/>
              <w:spacing w:after="0" w:line="240" w:lineRule="auto"/>
              <w:rPr>
                <w:sz w:val="24"/>
                <w:szCs w:val="24"/>
              </w:rPr>
            </w:pPr>
            <w:r>
              <w:rPr>
                <w:rFonts w:ascii="Times New Roman" w:hAnsi="Times New Roman" w:cs="Times New Roman"/>
                <w:color w:val="#000000"/>
                <w:sz w:val="24"/>
                <w:szCs w:val="24"/>
              </w:rPr>
              <w:t> Базы оценки элементов финансовой отчетности: историческая стоимость;  текущая стоимость: справедливая стоимость (допущения участников рынка), ценность использования (допущения, специфичные для организации), стоимость исполнения; текущая стоимость замещения. Оценка справедливой стоимости: иерархия справедливой стоимости, методы оценки, исходные данные для методов оценки.</w:t>
            </w:r>
          </w:p>
          <w:p>
            <w:pPr>
              <w:jc w:val="both"/>
              <w:spacing w:after="0" w:line="240" w:lineRule="auto"/>
              <w:rPr>
                <w:sz w:val="24"/>
                <w:szCs w:val="24"/>
              </w:rPr>
            </w:pPr>
            <w:r>
              <w:rPr>
                <w:rFonts w:ascii="Times New Roman" w:hAnsi="Times New Roman" w:cs="Times New Roman"/>
                <w:color w:val="#000000"/>
                <w:sz w:val="24"/>
                <w:szCs w:val="24"/>
              </w:rPr>
              <w:t> Концепции капитала и поддержания величины капитала.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(ОС). Определение и критерии признания ОС. Оценка основных средств при признании. Отражение последующих затрат по основным средствам. Амортизируемая величина и период амортизации. Срок полезного использования основных средств и методы амортизации, порядок их установления и пересмотра. Оценка ОС после признания: модель учета по первоначальной стоимости и модель учета по переоцененной стоимости. Обесценение ОС: понятие и учет. Выбытие основных средств.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Нематериальные активы (НМА). Определение нематериальных активов (НМА). Приобретенные и внутренне созданные нематериальные активы. Критерии признания нематериальных активов. Запрещенные к признанию внутренне созданные нематериальные активы. Установление и пересмотр срока полезного использования нематериальных активов, срока и метода их амортизации. Оценка нематериальных активов после признания: модель учета по первоначальной стоимости и модель учета по переоцененной стоимости. Учет обесценения НМА. Выбытие нематериальных активов.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Аренда. Понятие аренды. Виды аренды и их признаки. Отражение аренды в отчетности арендодателя и арендатора. Отражение операций продажи с обратной арендой.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Инвестиционная недвижимость. Понятие инвестиций в недвижимость. Признание и оценка инвестиционной недвижимости. Признание обесценения инвестиционной недвижимости. Реклассификация и выбытие, отражение в финансовой отчетности, требования к раскрытию.</w:t>
            </w:r>
          </w:p>
          <w:p>
            <w:pPr>
              <w:jc w:val="both"/>
              <w:spacing w:after="0" w:line="240" w:lineRule="auto"/>
              <w:rPr>
                <w:sz w:val="24"/>
                <w:szCs w:val="24"/>
              </w:rPr>
            </w:pPr>
            <w:r>
              <w:rPr>
                <w:rFonts w:ascii="Times New Roman" w:hAnsi="Times New Roman" w:cs="Times New Roman"/>
                <w:color w:val="#000000"/>
                <w:sz w:val="24"/>
                <w:szCs w:val="24"/>
              </w:rPr>
              <w:t> Внеоборотные активы, предназначенные для продажи, и прекращенная деятельность. Понятие, критерии признания внеоборотных активов как предназначенных для продажи. Порядок оценки и отражения в отчете о финансовом положении внеоборотных активов, предназначенных для продажи, выбывающей группы, активов и обязательств прекращенной деятельности. Признание и восстановление убытков от обесценения.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Запасы. Определение запасов. Состав запасов. Оценка запасов при первоначальном признании. Состав себестоимости запасов. Методы оценки себестоимости. Порядок списания запасов. Определение чистой возможной цены продажи запасов и отражение потенциальных убытков, заключающихся в запасах. Раскрытие информации.</w:t>
            </w:r>
          </w:p>
          <w:p>
            <w:pPr>
              <w:jc w:val="both"/>
              <w:spacing w:after="0" w:line="240" w:lineRule="auto"/>
              <w:rPr>
                <w:sz w:val="24"/>
                <w:szCs w:val="24"/>
              </w:rPr>
            </w:pPr>
            <w:r>
              <w:rPr>
                <w:rFonts w:ascii="Times New Roman" w:hAnsi="Times New Roman" w:cs="Times New Roman"/>
                <w:color w:val="#000000"/>
                <w:sz w:val="24"/>
                <w:szCs w:val="24"/>
              </w:rPr>
              <w:t> Финансовые активы и обязательства. Понятие финансового инструмента. Первичные и производные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Финансовые активы. Финансовые обязательства. Долевые инструменты. Признание и прекращение признания. Классификация. Первоначальная оценка, последующая оценка финансовых активов, последующая оценка финансовых обязательств, оценка по амортизированной стоимости, обесценение (оценка ожидаемых кредитных убытков). Хеджирование. Раскрытие информации о финансовых инструментах.</w:t>
            </w:r>
          </w:p>
          <w:p>
            <w:pPr>
              <w:jc w:val="both"/>
              <w:spacing w:after="0" w:line="240" w:lineRule="auto"/>
              <w:rPr>
                <w:sz w:val="24"/>
                <w:szCs w:val="24"/>
              </w:rPr>
            </w:pPr>
            <w:r>
              <w:rPr>
                <w:rFonts w:ascii="Times New Roman" w:hAnsi="Times New Roman" w:cs="Times New Roman"/>
                <w:color w:val="#000000"/>
                <w:sz w:val="24"/>
                <w:szCs w:val="24"/>
              </w:rPr>
              <w:t> Оценочные обязательства, условные обязательства и условные активы. Понятие текущего обязательства и условного обязательства. Обязывающее событие. Понятие оценочного обязательства и других обязательств. Правила признания оценочного обязательства. Оценка оценочного обязательства. Изменения в оценочных  обязательствах. Использование  оценочных обязательств. Обременительные договоры, оценочные обязательства на реструктуризацию. Отражение в отчетности условных обязательств и условных активов. Раскрытие информации в отчетности.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стандарты финансовой отчетности»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Ребизова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https://www.biblio-online.ru/bcode/432055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Еприкова,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http://www.iprbookshop.ru/95203.html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2.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49.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2024-2025_ФГОС3++2024_Бак-ЗФО-Э(УАиА)(24)_plx_Международные стандарты финансовой отчетности</dc:title>
  <dc:creator>FastReport.NET</dc:creator>
</cp:coreProperties>
</file>